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240" w:line="276" w:lineRule="auto"/>
        <w:ind w:left="720" w:firstLine="72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ans" w:cs="Liberation Sans" w:eastAsia="Liberation Sans" w:hAnsi="Liberation Sans"/>
          <w:sz w:val="28"/>
          <w:szCs w:val="28"/>
          <w:rtl w:val="0"/>
        </w:rPr>
        <w:t xml:space="preserve">EdgeX Security WG Meeting 08/26/2020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048125" cy="3114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before="3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36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Action Items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strike w:val="1"/>
          <w:color w:val="393842"/>
          <w:sz w:val="24"/>
          <w:szCs w:val="24"/>
          <w:highlight w:val="white"/>
        </w:rPr>
      </w:pPr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Action item: notify TSC that </w:t>
      </w:r>
      <w:hyperlink r:id="rId7">
        <w:r w:rsidDel="00000000" w:rsidR="00000000" w:rsidRPr="00000000">
          <w:rPr>
            <w:strike w:val="1"/>
            <w:color w:val="1155cc"/>
            <w:sz w:val="24"/>
            <w:szCs w:val="24"/>
            <w:highlight w:val="white"/>
            <w:u w:val="single"/>
            <w:rtl w:val="0"/>
          </w:rPr>
          <w:t xml:space="preserve">edgex-go/issues/1955</w:t>
        </w:r>
      </w:hyperlink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 is at risk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edgex-go/issues/1955</w:t>
        </w:r>
      </w:hyperlink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 should become a here to there plan wiki doc / google doc / possibly becomes an ADR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color w:val="393842"/>
          <w:sz w:val="24"/>
          <w:szCs w:val="24"/>
          <w:highlight w:val="whit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ack edgexfoundry/docker-edgex-mongo and edgexfoundry/docker-edgex-volume as won’t fix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trike w:val="1"/>
          <w:color w:val="393842"/>
          <w:sz w:val="24"/>
          <w:szCs w:val="24"/>
          <w:highlight w:val="white"/>
        </w:rPr>
      </w:pPr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Action item: ack edgexfoundry/consul:1.1.0 as not vulnerable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trike w:val="1"/>
          <w:color w:val="393842"/>
          <w:sz w:val="24"/>
          <w:szCs w:val="24"/>
          <w:highlight w:val="white"/>
        </w:rPr>
      </w:pPr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Action item: bump consul to 1.7.7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trike w:val="1"/>
          <w:color w:val="393842"/>
          <w:sz w:val="24"/>
          <w:szCs w:val="24"/>
          <w:highlight w:val="white"/>
        </w:rPr>
      </w:pPr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Action item: ack edgexfoundry/consul:1.2.0 jq as not vulnerable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strike w:val="1"/>
          <w:color w:val="393842"/>
          <w:sz w:val="24"/>
          <w:szCs w:val="24"/>
          <w:highlight w:val="white"/>
        </w:rPr>
      </w:pPr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Action Item: Jim White going to discuss </w:t>
      </w:r>
      <w:hyperlink r:id="rId9">
        <w:r w:rsidDel="00000000" w:rsidR="00000000" w:rsidRPr="00000000">
          <w:rPr>
            <w:strike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https://github.com/edgexfoundry/go-mod-secrets/issues/53</w:t>
        </w:r>
      </w:hyperlink>
      <w:r w:rsidDel="00000000" w:rsidR="00000000" w:rsidRPr="00000000">
        <w:rPr>
          <w:strike w:val="1"/>
          <w:color w:val="393842"/>
          <w:sz w:val="24"/>
          <w:szCs w:val="24"/>
          <w:highlight w:val="white"/>
          <w:rtl w:val="0"/>
        </w:rPr>
        <w:t xml:space="preserve"> with Lenny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Snyk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at risk of not making Hanoi?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stretch goals possibly going to make it into Hanoi?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QA code review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Progress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Release backlog if necessary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8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spacing w:after="80" w:before="360" w:line="276" w:lineRule="auto"/>
        <w:rPr>
          <w:color w:val="393842"/>
          <w:sz w:val="24"/>
          <w:szCs w:val="24"/>
          <w:highlight w:val="white"/>
        </w:rPr>
      </w:pPr>
      <w:bookmarkStart w:colFirst="0" w:colLast="0" w:name="_gyv4i8itv6od" w:id="1"/>
      <w:bookmarkEnd w:id="1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James present a POC of what a CIS docker benchmark guide may look like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Document the vulnerabilities on our disclosure page. Include details that we haven’t evaluated if the vulnerability is exploitable, fixing is upgrading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TSC approval that major and minor upgrades can be made via PR’s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Adjust docker-compose / dockerfile to only pin major.minor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edgexfoundry/go-mod-secrets/issues/53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ithub.com/edgexfoundry/edgex-go/issues/1955" TargetMode="External"/><Relationship Id="rId8" Type="http://schemas.openxmlformats.org/officeDocument/2006/relationships/hyperlink" Target="https://github.com/edgexfoundry/edgex-go/issues/1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