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spacing w:after="120" w:before="240" w:line="276" w:lineRule="auto"/>
        <w:ind w:left="720"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EdgeX Security WG Meeting</w:t>
      </w:r>
    </w:p>
    <w:p w:rsidR="00000000" w:rsidDel="00000000" w:rsidP="00000000" w:rsidRDefault="00000000" w:rsidRPr="00000000" w14:paraId="00000002">
      <w:pPr>
        <w:keepNext w:val="1"/>
        <w:spacing w:after="120" w:before="240" w:line="276" w:lineRule="auto"/>
        <w:ind w:left="0" w:firstLine="0"/>
        <w:rPr>
          <w:b w:val="1"/>
          <w:i w:val="1"/>
          <w:sz w:val="24"/>
          <w:szCs w:val="24"/>
        </w:rPr>
      </w:pPr>
      <w:bookmarkStart w:colFirst="0" w:colLast="0" w:name="_kz40x8lfr901" w:id="1"/>
      <w:bookmarkEnd w:id="1"/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i w:val="1"/>
          <w:rtl w:val="0"/>
        </w:rPr>
        <w:t xml:space="preserve">/17/2020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/>
      </w:pPr>
      <w:bookmarkStart w:colFirst="0" w:colLast="0" w:name="_jneuuf8rwtan" w:id="2"/>
      <w:bookmarkEnd w:id="2"/>
      <w:r w:rsidDel="00000000" w:rsidR="00000000" w:rsidRPr="00000000">
        <w:rPr>
          <w:rtl w:val="0"/>
        </w:rPr>
        <w:t xml:space="preserve">Attendees: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76" w:lineRule="auto"/>
        <w:rPr>
          <w:sz w:val="60"/>
          <w:szCs w:val="60"/>
        </w:rPr>
      </w:pPr>
      <w:bookmarkStart w:colFirst="0" w:colLast="0" w:name="_1v803b4f1jb" w:id="3"/>
      <w:bookmarkEnd w:id="3"/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543425" cy="3838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83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/>
      </w:pPr>
      <w:bookmarkStart w:colFirst="0" w:colLast="0" w:name="_gcpl0acrbu5j" w:id="4"/>
      <w:bookmarkEnd w:id="4"/>
      <w:r w:rsidDel="00000000" w:rsidR="00000000" w:rsidRPr="00000000">
        <w:rPr>
          <w:rtl w:val="0"/>
        </w:rPr>
        <w:br w:type="textWrapping"/>
        <w:t xml:space="preserve">Standing Agenda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360"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Backlog progress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Review Security Provider for All Project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Review Security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Securing Consul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CIS docker scan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Review Snyc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80" w:before="0" w:beforeAutospacing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Filter With Issues &amp; Active</w:t>
      </w:r>
    </w:p>
    <w:p w:rsidR="00000000" w:rsidDel="00000000" w:rsidP="00000000" w:rsidRDefault="00000000" w:rsidRPr="00000000" w14:paraId="0000000D">
      <w:pPr>
        <w:pStyle w:val="Heading2"/>
        <w:spacing w:before="360" w:line="276" w:lineRule="auto"/>
        <w:rPr>
          <w:color w:val="1d1c1d"/>
          <w:sz w:val="23"/>
          <w:szCs w:val="23"/>
          <w:highlight w:val="white"/>
        </w:rPr>
      </w:pPr>
      <w:bookmarkStart w:colFirst="0" w:colLast="0" w:name="_92bdcy5b2gz9" w:id="5"/>
      <w:bookmarkEnd w:id="5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200" w:before="200" w:lineRule="auto"/>
        <w:ind w:left="720" w:hanging="360"/>
        <w:rPr>
          <w:color w:val="1d1c1d"/>
          <w:sz w:val="23"/>
          <w:szCs w:val="23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line="276" w:lineRule="auto"/>
        <w:rPr/>
      </w:pPr>
      <w:bookmarkStart w:colFirst="0" w:colLast="0" w:name="_gyv4i8itv6od" w:id="6"/>
      <w:bookmarkEnd w:id="6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Bryon: Investigate why CIS benchmark tool thinks edgex-redis is running as root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Lenny: create issues for the bootstrap scripts to run as non-root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Related: </w:t>
      </w:r>
      <w:hyperlink r:id="rId13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email thread</w:t>
        </w:r>
      </w:hyperlink>
      <w:r w:rsidDel="00000000" w:rsidR="00000000" w:rsidRPr="00000000">
        <w:rPr>
          <w:strike w:val="1"/>
          <w:rtl w:val="0"/>
        </w:rPr>
        <w:t xml:space="preserve"> and </w:t>
      </w:r>
      <w:hyperlink r:id="rId14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CIS scan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Colin: Edgex-device-virtual should mount a volume and not have a R/W filesystem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Colin: Find a way to ignore </w:t>
      </w:r>
      <w:r w:rsidDel="00000000" w:rsidR="00000000" w:rsidRPr="00000000">
        <w:rPr>
          <w:rtl w:val="0"/>
        </w:rPr>
        <w:t xml:space="preserve">all vault warnings in the CIS scan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Colin: Find a way to ignore the edgex-sys-mgmt-agent in the CIS 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Lenny: Create issue related to proxy-setup override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Securing consul notes: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1: is backwards compatible and not a breaking change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2: is a non backwards compatible breaking change (if running in secure mode / feature flagged)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3: is not a backwards breaking change with phase 2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Lenny: If we feature flag phase 2 and it’s incomplete that’s OK no need to push the release date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Re-evaluate at the end of April if we can meet / meet with a different release date or skip implementation of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Securing Consul Phase 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Colin: have the devops group run the CIS scan weekly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Next security wg meeting: </w:t>
      </w:r>
      <w:hyperlink r:id="rId16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https://lists.edgexfoundry.org/g/EdgeX-TSC-Security/message/352#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Colin: get the docker security scan ran again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Colin: add a review of the security scan to the weekly security group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trike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enkins.edgexfoundry.org/blue/organizations/jenkins/edgexfoundry%2Fcd-management/detail/docker-cis-benchmark/3/pipeline/31/" TargetMode="External"/><Relationship Id="rId10" Type="http://schemas.openxmlformats.org/officeDocument/2006/relationships/hyperlink" Target="https://github.com/orgs/edgexfoundry/projects/41" TargetMode="External"/><Relationship Id="rId13" Type="http://schemas.openxmlformats.org/officeDocument/2006/relationships/hyperlink" Target="https://lists.edgexfoundry.org/g/EdgeX-TSC-Security/topic/80750077#352" TargetMode="External"/><Relationship Id="rId12" Type="http://schemas.openxmlformats.org/officeDocument/2006/relationships/hyperlink" Target="https://app.snyk.io/org/edgex-jenkins/projec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orgs/edgexfoundry/projects/28" TargetMode="External"/><Relationship Id="rId15" Type="http://schemas.openxmlformats.org/officeDocument/2006/relationships/hyperlink" Target="https://github.com/edgexfoundry/edgex-docs/blob/master/docs_src/design/adr/security/0017-consul-security.md#phase-2" TargetMode="External"/><Relationship Id="rId14" Type="http://schemas.openxmlformats.org/officeDocument/2006/relationships/hyperlink" Target="https://jenkins.edgexfoundry.org/blue/organizations/jenkins/edgexfoundry%2Fcd-management/detail/docker-cis-benchmark/3/pipeline/31/" TargetMode="External"/><Relationship Id="rId16" Type="http://schemas.openxmlformats.org/officeDocument/2006/relationships/hyperlink" Target="https://lists.edgexfoundry.org/g/EdgeX-TSC-Security/message/352#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it.ly/2UFJWGA" TargetMode="External"/><Relationship Id="rId8" Type="http://schemas.openxmlformats.org/officeDocument/2006/relationships/hyperlink" Target="https://github.com/orgs/edgexfoundry/projects/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